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22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1986</w:t>
      </w:r>
      <w:bookmarkEnd w:id="0"/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ascii="Arial" w:hAnsi="Arial" w:cs="Arial"/>
          <w:b/>
          <w:sz w:val="22"/>
          <w:szCs w:val="22"/>
        </w:rPr>
        <w:t xml:space="preserve">Fukuoka, Japan, 19 – 23 May </w:t>
      </w:r>
      <w:r>
        <w:rPr>
          <w:rFonts w:ascii="Arial" w:hAnsi="Arial" w:cs="Arial"/>
          <w:b/>
          <w:sz w:val="22"/>
          <w:szCs w:val="22"/>
        </w:rPr>
        <w:t>2025</w:t>
      </w:r>
      <w: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Telecom, ZTE, China Unicom, China Mobile</w:t>
      </w:r>
    </w:p>
    <w:p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security for PLMN hosting a NPN phase 2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/>
          <w:sz w:val="36"/>
          <w:lang w:eastAsia="ja-JP"/>
        </w:rPr>
        <w:t xml:space="preserve">Study on </w:t>
      </w:r>
      <w:r>
        <w:rPr>
          <w:rFonts w:hint="eastAsia" w:ascii="Arial" w:hAnsi="Arial" w:eastAsia="Times New Roman"/>
          <w:sz w:val="36"/>
          <w:lang w:eastAsia="ja-JP"/>
        </w:rPr>
        <w:t>security for PLMN hosting a NPN</w:t>
      </w:r>
      <w:r>
        <w:rPr>
          <w:rFonts w:hint="eastAsia" w:ascii="Arial" w:hAnsi="Arial" w:eastAsia="宋体"/>
          <w:sz w:val="36"/>
          <w:lang w:val="en-US" w:eastAsia="zh-CN"/>
        </w:rPr>
        <w:t xml:space="preserve"> phase 2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FS_PLMNNPN_Ph2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  <w:r>
        <w:t xml:space="preserve">{A number to be provided by MCC at the plenary}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5"/>
      </w:pPr>
      <w:r>
        <w:t>{For Normative work, identify the anticipated impacts. For a Study, identify the scope of the study}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t xml:space="preserve"> N/A</w:t>
            </w:r>
          </w:p>
        </w:tc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6010" w:type="dxa"/>
          </w:tcPr>
          <w:p>
            <w:pPr>
              <w:pStyle w:val="27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1020039</w:t>
            </w:r>
          </w:p>
        </w:tc>
        <w:tc>
          <w:tcPr>
            <w:tcW w:w="3326" w:type="dxa"/>
          </w:tcPr>
          <w:p>
            <w:pPr>
              <w:pStyle w:val="27"/>
            </w:pPr>
            <w:r>
              <w:rPr>
                <w:rFonts w:hint="eastAsia"/>
              </w:rPr>
              <w:t>Study on security for PLMN hosting a NPN</w:t>
            </w:r>
          </w:p>
        </w:tc>
        <w:tc>
          <w:tcPr>
            <w:tcW w:w="5099" w:type="dxa"/>
          </w:tcPr>
          <w:p>
            <w:pPr>
              <w:pStyle w:val="25"/>
            </w:pPr>
            <w:r>
              <w:t>Antecedent  study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1060067</w:t>
            </w:r>
          </w:p>
        </w:tc>
        <w:tc>
          <w:tcPr>
            <w:tcW w:w="3326" w:type="dxa"/>
          </w:tcPr>
          <w:p>
            <w:pPr>
              <w:pStyle w:val="27"/>
            </w:pPr>
            <w:r>
              <w:rPr>
                <w:rFonts w:hint="eastAsia"/>
              </w:rPr>
              <w:t>Security for PLMN hosting a NPN</w:t>
            </w:r>
          </w:p>
        </w:tc>
        <w:tc>
          <w:tcPr>
            <w:tcW w:w="5099" w:type="dxa"/>
          </w:tcPr>
          <w:p>
            <w:pPr>
              <w:pStyle w:val="25"/>
            </w:pPr>
            <w:r>
              <w:t xml:space="preserve">Antecedent  </w:t>
            </w:r>
            <w:r>
              <w:rPr>
                <w:rFonts w:hint="eastAsia" w:eastAsia="宋体"/>
                <w:lang w:val="en-US" w:eastAsia="zh-CN"/>
              </w:rPr>
              <w:t>work</w:t>
            </w:r>
            <w:r>
              <w:t xml:space="preserve"> item</w:t>
            </w:r>
          </w:p>
        </w:tc>
      </w:tr>
    </w:tbl>
    <w:p>
      <w:pPr>
        <w:pStyle w:val="30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TR 33.757[1] has studied two scenarios of PLMN hosting a NPN, where the interface between PLMN operational domain and PNI-NPN domain is N4 or SBA interface. In TR 33.757[1], the CP functions deployed in the PNI-NPN operational domain only consider AMF and SMF. However, there are still </w:t>
      </w:r>
      <w:r>
        <w:rPr>
          <w:rFonts w:eastAsia="宋体" w:cs="Arial"/>
          <w:lang w:val="en-US" w:eastAsia="zh-CN"/>
        </w:rPr>
        <w:t>other deployment use cases and</w:t>
      </w:r>
      <w:r>
        <w:rPr>
          <w:rFonts w:hint="eastAsia" w:eastAsia="宋体" w:cs="Arial"/>
          <w:lang w:val="en-US" w:eastAsia="zh-CN"/>
        </w:rPr>
        <w:t xml:space="preserve"> security issues </w:t>
      </w:r>
      <w:r>
        <w:rPr>
          <w:rFonts w:eastAsia="宋体" w:cs="Arial"/>
          <w:lang w:val="en-US" w:eastAsia="zh-CN"/>
        </w:rPr>
        <w:t xml:space="preserve">that </w:t>
      </w:r>
      <w:r>
        <w:rPr>
          <w:rFonts w:hint="eastAsia" w:eastAsia="宋体" w:cs="Arial"/>
          <w:lang w:val="en-US" w:eastAsia="zh-CN"/>
        </w:rPr>
        <w:t xml:space="preserve">need to be </w:t>
      </w:r>
      <w:r>
        <w:rPr>
          <w:rFonts w:eastAsia="宋体" w:cs="Arial"/>
          <w:lang w:val="en-US" w:eastAsia="zh-CN"/>
        </w:rPr>
        <w:t>studied</w:t>
      </w:r>
      <w:r>
        <w:rPr>
          <w:rFonts w:hint="eastAsia" w:eastAsia="宋体" w:cs="Arial"/>
          <w:lang w:val="en-US" w:eastAsia="zh-CN"/>
        </w:rPr>
        <w:t>.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1. Protection of N9 interface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>A PNI-NPN may deploy a UPF, which connects to an PLMN UPF via N9 interface</w:t>
      </w:r>
      <w:r>
        <w:rPr>
          <w:rFonts w:hint="eastAsia" w:eastAsia="宋体" w:cs="Arial"/>
          <w:lang w:val="en-US" w:eastAsia="zh-CN"/>
        </w:rPr>
        <w:t>.</w:t>
      </w:r>
      <w:r>
        <w:rPr>
          <w:rFonts w:eastAsia="宋体" w:cs="Arial"/>
          <w:lang w:val="en-US" w:eastAsia="zh-CN"/>
        </w:rPr>
        <w:t xml:space="preserve"> Thus, t</w:t>
      </w:r>
      <w:r>
        <w:rPr>
          <w:rFonts w:hint="eastAsia" w:eastAsia="宋体" w:cs="Arial"/>
          <w:lang w:val="en-US" w:eastAsia="zh-CN"/>
        </w:rPr>
        <w:t>he interfaces between PLMN operational domain and PNI-NPN domain may include N9. Attackers in PNI-NPN operational domain may collect PLMN operational domain</w:t>
      </w:r>
      <w:r>
        <w:rPr>
          <w:rFonts w:eastAsia="宋体" w:cs="Arial"/>
          <w:lang w:val="en-US" w:eastAsia="zh-CN"/>
        </w:rPr>
        <w:t>’</w:t>
      </w:r>
      <w:r>
        <w:rPr>
          <w:rFonts w:hint="eastAsia" w:eastAsia="宋体" w:cs="Arial"/>
          <w:lang w:val="en-US" w:eastAsia="zh-CN"/>
        </w:rPr>
        <w:t>s topology through N9 interface.The existing IPUPS is not supposed to be within PLMN. Even an entity with IPUPS functionalities cannot prevent attackers in PNI-NPN operational domain from collecting PLMN operational domain</w:t>
      </w:r>
      <w:r>
        <w:rPr>
          <w:rFonts w:eastAsia="宋体" w:cs="Arial"/>
          <w:lang w:val="en-US" w:eastAsia="zh-CN"/>
        </w:rPr>
        <w:t>’</w:t>
      </w:r>
      <w:r>
        <w:rPr>
          <w:rFonts w:hint="eastAsia" w:eastAsia="宋体" w:cs="Arial"/>
          <w:lang w:val="en-US" w:eastAsia="zh-CN"/>
        </w:rPr>
        <w:t>s topology.</w:t>
      </w:r>
    </w:p>
    <w:p>
      <w:pPr>
        <w:pStyle w:val="34"/>
        <w:numPr>
          <w:ilvl w:val="0"/>
          <w:numId w:val="1"/>
        </w:numPr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>Protection of dedicated CP functions other than AMF, SMF and UDM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>In Release 19, the CP functions deployed in the PNI-NPN operational domain only consider AMF and SMF. However, more CP functions (e.g., NWDAF) are likely to be deployed in the PNI-NPN operational domain. It is necessary to study whether additional security measures are needed.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Based on the above justification, the following objectives will be studied: </w:t>
      </w:r>
    </w:p>
    <w:p>
      <w:pPr>
        <w:pStyle w:val="34"/>
        <w:numPr>
          <w:ilvl w:val="0"/>
          <w:numId w:val="2"/>
        </w:numPr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Identify key issues and potential security requirements for the scenario of PLMN hosting a NPN where the interfaces between PLMN operational domain and PNI-NPN domain include N9.</w:t>
      </w:r>
    </w:p>
    <w:p>
      <w:pPr>
        <w:pStyle w:val="34"/>
        <w:numPr>
          <w:ilvl w:val="0"/>
          <w:numId w:val="2"/>
        </w:numPr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 Identify key issues and potential security requirements for the scenario of PLMN hosting a NPN where more CP functions (except AMF, SMF, UDM) are deployed in PNI-NPN domain.</w:t>
      </w:r>
    </w:p>
    <w:p>
      <w:pPr>
        <w:pStyle w:val="34"/>
        <w:numPr>
          <w:ilvl w:val="0"/>
          <w:numId w:val="2"/>
        </w:numPr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Develop solutions to address the identified </w:t>
      </w:r>
      <w:r>
        <w:rPr>
          <w:rFonts w:eastAsia="宋体" w:cs="Arial"/>
          <w:lang w:val="en-US" w:eastAsia="zh-CN"/>
        </w:rPr>
        <w:t xml:space="preserve">security </w:t>
      </w:r>
      <w:r>
        <w:rPr>
          <w:rFonts w:hint="eastAsia" w:eastAsia="宋体" w:cs="Arial"/>
          <w:lang w:val="en-US" w:eastAsia="zh-CN"/>
        </w:rPr>
        <w:t>requirements.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</w:p>
    <w:p>
      <w:pPr>
        <w:pStyle w:val="3"/>
        <w:keepLines/>
        <w:spacing w:before="180" w:after="180"/>
        <w:ind w:left="1134" w:right="0" w:hanging="1134"/>
        <w:rPr>
          <w:rFonts w:eastAsia="宋体"/>
          <w:b w:val="0"/>
          <w:sz w:val="32"/>
          <w:lang w:val="en-US" w:eastAsia="zh-CN"/>
        </w:rPr>
      </w:pPr>
      <w:r>
        <w:rPr>
          <w:rFonts w:hint="eastAsia" w:eastAsia="宋体"/>
          <w:b w:val="0"/>
          <w:sz w:val="32"/>
          <w:lang w:val="en-US" w:eastAsia="zh-CN"/>
        </w:rPr>
        <w:t>TU estimates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Total TU estimates for the study phase: 2 TUs (4 meeting cycles)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Total TU estimates for the normative phase: 1 TUs (2 meeting cycles)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Total TU estimates: 3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>
            <w:pPr>
              <w:pStyle w:val="25"/>
              <w:spacing w:after="0"/>
            </w:pPr>
            <w:r>
              <w:rPr>
                <w:i w:val="0"/>
              </w:rPr>
              <w:t>33.xyz</w:t>
            </w:r>
          </w:p>
        </w:tc>
        <w:tc>
          <w:tcPr>
            <w:tcW w:w="2409" w:type="dxa"/>
          </w:tcPr>
          <w:p>
            <w:pPr>
              <w:pStyle w:val="25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Study on </w:t>
            </w:r>
            <w:r>
              <w:rPr>
                <w:rFonts w:hint="eastAsia"/>
              </w:rPr>
              <w:t>security for PLMN hosting a NPN</w:t>
            </w:r>
            <w:r>
              <w:rPr>
                <w:rFonts w:hint="eastAsia" w:eastAsia="宋体"/>
                <w:lang w:val="en-US" w:eastAsia="zh-CN"/>
              </w:rPr>
              <w:t xml:space="preserve"> phase2</w:t>
            </w:r>
          </w:p>
        </w:tc>
        <w:tc>
          <w:tcPr>
            <w:tcW w:w="993" w:type="dxa"/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TSG#1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  <w:p>
            <w:pPr>
              <w:pStyle w:val="25"/>
              <w:spacing w:after="0"/>
            </w:pPr>
            <w:r>
              <w:rPr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>Mar</w:t>
            </w:r>
            <w:r>
              <w:rPr>
                <w:lang w:val="en-US"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074" w:type="dxa"/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TSG#1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  <w:p>
            <w:pPr>
              <w:pStyle w:val="25"/>
              <w:spacing w:after="0"/>
            </w:pPr>
            <w:r>
              <w:rPr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>Jun</w:t>
            </w:r>
            <w:r>
              <w:rPr>
                <w:lang w:val="en-US"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86" w:type="dxa"/>
          </w:tcPr>
          <w:p>
            <w:pPr>
              <w:pStyle w:val="25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0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SA3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None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5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CableLabs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19C63B"/>
    <w:multiLevelType w:val="singleLevel"/>
    <w:tmpl w:val="C219C63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749B89F"/>
    <w:multiLevelType w:val="singleLevel"/>
    <w:tmpl w:val="C749B89F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364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5C75"/>
    <w:rsid w:val="002F7CCB"/>
    <w:rsid w:val="00301992"/>
    <w:rsid w:val="003057FD"/>
    <w:rsid w:val="003101C6"/>
    <w:rsid w:val="00310E70"/>
    <w:rsid w:val="00313F3E"/>
    <w:rsid w:val="00314B12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6E7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4CB5F5D"/>
    <w:rsid w:val="04E3404E"/>
    <w:rsid w:val="07921977"/>
    <w:rsid w:val="0ABF0D4B"/>
    <w:rsid w:val="0F207B17"/>
    <w:rsid w:val="1303676E"/>
    <w:rsid w:val="17B53420"/>
    <w:rsid w:val="234671EC"/>
    <w:rsid w:val="313C1D65"/>
    <w:rsid w:val="32994C8F"/>
    <w:rsid w:val="3C343ADA"/>
    <w:rsid w:val="3ECF39E7"/>
    <w:rsid w:val="5224711E"/>
    <w:rsid w:val="5CAE1DDE"/>
    <w:rsid w:val="5CDC57E4"/>
    <w:rsid w:val="62AE59A6"/>
    <w:rsid w:val="6AC219B4"/>
    <w:rsid w:val="6F3242EA"/>
    <w:rsid w:val="73120C20"/>
    <w:rsid w:val="7634455F"/>
    <w:rsid w:val="7D271DBE"/>
    <w:rsid w:val="7E5725D5"/>
    <w:rsid w:val="7F1E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16"/>
      <w:szCs w:val="16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link w:val="11"/>
    <w:qFormat/>
    <w:uiPriority w:val="0"/>
    <w:rPr>
      <w:lang w:eastAsia="en-US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character" w:customStyle="1" w:styleId="35">
    <w:name w:val="Comment Text Char"/>
    <w:basedOn w:val="16"/>
    <w:link w:val="8"/>
    <w:semiHidden/>
    <w:qFormat/>
    <w:uiPriority w:val="0"/>
    <w:rPr>
      <w:rFonts w:ascii="Arial" w:hAnsi="Arial" w:eastAsia="Times New Roman"/>
      <w:lang w:val="en-GB" w:eastAsia="en-US"/>
    </w:rPr>
  </w:style>
  <w:style w:type="character" w:customStyle="1" w:styleId="36">
    <w:name w:val="Comment Subject Char"/>
    <w:basedOn w:val="35"/>
    <w:link w:val="14"/>
    <w:qFormat/>
    <w:uiPriority w:val="0"/>
    <w:rPr>
      <w:rFonts w:ascii="Arial" w:hAnsi="Arial" w:eastAsia="Times New Roman"/>
      <w:b/>
      <w:bCs/>
      <w:lang w:val="en-GB" w:eastAsia="en-US"/>
    </w:rPr>
  </w:style>
  <w:style w:type="paragraph" w:customStyle="1" w:styleId="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709</Words>
  <Characters>4046</Characters>
  <Lines>33</Lines>
  <Paragraphs>9</Paragraphs>
  <TotalTime>30</TotalTime>
  <ScaleCrop>false</ScaleCrop>
  <LinksUpToDate>false</LinksUpToDate>
  <CharactersWithSpaces>4746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2025-04-29T15:37:00Z</dcterms:created>
  <dc:creator>Alain Sultan</dc:creator>
  <cp:lastModifiedBy>China Telecom</cp:lastModifiedBy>
  <cp:lastPrinted>2001-04-23T09:30:00Z</cp:lastPrinted>
  <dcterms:modified xsi:type="dcterms:W3CDTF">2025-05-12T07:05:56Z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1B27BD11106D4CADA204028C41EE6601_13</vt:lpwstr>
  </property>
</Properties>
</file>